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660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575"/>
        <w:gridCol w:w="4110"/>
        <w:gridCol w:w="599"/>
      </w:tblGrid>
      <w:tr w:rsidR="00AA0303" w:rsidRPr="00555EE3" w:rsidTr="00C15567">
        <w:tc>
          <w:tcPr>
            <w:tcW w:w="3936" w:type="dxa"/>
            <w:shd w:val="clear" w:color="auto" w:fill="66FF66"/>
          </w:tcPr>
          <w:p w:rsidR="00AA0303" w:rsidRPr="00205CCF" w:rsidRDefault="00AA0303" w:rsidP="00C15567">
            <w:pPr>
              <w:jc w:val="center"/>
              <w:rPr>
                <w:rFonts w:cs="Calibri"/>
                <w:b/>
              </w:rPr>
            </w:pPr>
            <w:r w:rsidRPr="00205CCF">
              <w:rPr>
                <w:rFonts w:cs="Calibri"/>
                <w:b/>
              </w:rPr>
              <w:t>SILNE STRONY</w:t>
            </w:r>
          </w:p>
        </w:tc>
        <w:tc>
          <w:tcPr>
            <w:tcW w:w="575" w:type="dxa"/>
            <w:shd w:val="clear" w:color="auto" w:fill="FFFFFF" w:themeFill="background1"/>
          </w:tcPr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pkt.</w:t>
            </w:r>
          </w:p>
        </w:tc>
        <w:tc>
          <w:tcPr>
            <w:tcW w:w="4110" w:type="dxa"/>
            <w:shd w:val="clear" w:color="auto" w:fill="FF6600"/>
          </w:tcPr>
          <w:p w:rsidR="00AA0303" w:rsidRPr="00205CCF" w:rsidRDefault="00AA0303" w:rsidP="00C15567">
            <w:pPr>
              <w:jc w:val="center"/>
              <w:rPr>
                <w:rFonts w:cs="Calibri"/>
                <w:b/>
              </w:rPr>
            </w:pPr>
            <w:r w:rsidRPr="00205CCF">
              <w:rPr>
                <w:rFonts w:cs="Calibri"/>
                <w:b/>
              </w:rPr>
              <w:t>SŁABE STRONY</w:t>
            </w:r>
          </w:p>
        </w:tc>
        <w:tc>
          <w:tcPr>
            <w:tcW w:w="599" w:type="dxa"/>
            <w:shd w:val="clear" w:color="auto" w:fill="FFFFFF" w:themeFill="background1"/>
          </w:tcPr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pkt.</w:t>
            </w:r>
          </w:p>
        </w:tc>
      </w:tr>
      <w:tr w:rsidR="00AA0303" w:rsidRPr="00555EE3" w:rsidTr="00C15567">
        <w:trPr>
          <w:trHeight w:val="8894"/>
        </w:trPr>
        <w:tc>
          <w:tcPr>
            <w:tcW w:w="3936" w:type="dxa"/>
          </w:tcPr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Zróżnicowane i malownicze warunki krajobrazowo-przyrodnicze (lasy, jeziora) sprzyjające rozwojowi różnych form turystyki, rekreacji i wypoczynku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Korzystne położenie w układzie ważnych szlaków komunikacyjnych i turystycznych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Bliskie sąsiedztwo dużych miast, w tym centralne położenie Włocławka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 xml:space="preserve">Występowanie terenów o znaczeniu historycznym oraz zabytków historycznych atrakcyjnych turystycznie 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 xml:space="preserve">Czyste otoczenie i środowisko naturalne sprzyjające rozwojowi gospodarstw agroturystycznych 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Dobrze rozwinięte rolnictwo (szczególnie warzywnictwo i sadownictwo)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 xml:space="preserve">Występowanie potencjalnych terenów inwestycyjnych, dotychczas niezagospodarowanych 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 xml:space="preserve">Aktywność mieszkańców (rady sołeckie, OSP, organizacje pozarządowe, koła gospodyń wiejskich </w:t>
            </w:r>
            <w:r>
              <w:rPr>
                <w:rFonts w:ascii="Calibri" w:hAnsi="Calibri" w:cs="Arial"/>
                <w:color w:val="000000"/>
              </w:rPr>
              <w:t>itp.</w:t>
            </w:r>
            <w:r w:rsidRPr="00205CCF">
              <w:rPr>
                <w:rFonts w:ascii="Calibri" w:hAnsi="Calibri" w:cs="Arial"/>
                <w:color w:val="000000"/>
              </w:rPr>
              <w:t xml:space="preserve">) 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położenie na terenie Gostynińsko-Włocławskiego Parku Krajobrazowego i obszarów cennych przyrodniczo</w:t>
            </w:r>
          </w:p>
        </w:tc>
        <w:tc>
          <w:tcPr>
            <w:tcW w:w="575" w:type="dxa"/>
            <w:shd w:val="clear" w:color="auto" w:fill="66FF66"/>
          </w:tcPr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15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13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9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8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7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7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7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4</w:t>
            </w: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</w:p>
          <w:p w:rsidR="00AA0303" w:rsidRPr="00555EE3" w:rsidRDefault="00AA0303" w:rsidP="00C15567">
            <w:pPr>
              <w:rPr>
                <w:rFonts w:ascii="Calibri" w:hAnsi="Calibri" w:cs="Arial"/>
                <w:b/>
                <w:color w:val="000000"/>
              </w:rPr>
            </w:pPr>
            <w:r w:rsidRPr="00555EE3">
              <w:rPr>
                <w:rFonts w:ascii="Calibri" w:hAnsi="Calibri" w:cs="Arial"/>
                <w:b/>
                <w:color w:val="000000"/>
              </w:rPr>
              <w:t>4</w:t>
            </w:r>
          </w:p>
        </w:tc>
        <w:tc>
          <w:tcPr>
            <w:tcW w:w="4110" w:type="dxa"/>
          </w:tcPr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Wysoki wskaźnik bezrobocia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Negatywne tendencje demograficzne (starzenie się społeczeństwa, spadek liczby urodzeń)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Brak infrastruktury rekreacyjno-wypoczynkowej (baseny, ścieżki rowerowe, zaplecze noclegowo-gastronomiczne)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Brak animatorów społecznych oraz warunków dla ich funkcjonowania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słabo rozwinięta infrastruktura turystyczna oraz niskie wykorzystanie zabytków historycznych i dóbr kultury w celu promowania regionu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Niezadowalający stan techniczny dróg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 xml:space="preserve">Niski poziom rozwoju lokalnych przedsiębiorstw oraz działalności pozarolniczej 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Niski wskaźnik wykorzystania  terenów inwestycyjnych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Brak ofert dla osób starszych, zagrożonych społecznym wykluczeniem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 xml:space="preserve">Brak zakładów przemysłowych, będących motorem rozwoju gospodarczego </w:t>
            </w:r>
          </w:p>
          <w:p w:rsidR="00AA0303" w:rsidRPr="00205CCF" w:rsidRDefault="00AA0303" w:rsidP="00C15567">
            <w:pPr>
              <w:pStyle w:val="Akapitzlist"/>
              <w:numPr>
                <w:ilvl w:val="0"/>
                <w:numId w:val="1"/>
              </w:numPr>
              <w:spacing w:before="0"/>
              <w:ind w:left="215" w:hanging="215"/>
              <w:contextualSpacing w:val="0"/>
              <w:rPr>
                <w:rFonts w:ascii="Calibri" w:hAnsi="Calibri" w:cs="Arial"/>
                <w:color w:val="000000"/>
              </w:rPr>
            </w:pPr>
            <w:r w:rsidRPr="00205CCF">
              <w:rPr>
                <w:rFonts w:ascii="Calibri" w:hAnsi="Calibri" w:cs="Arial"/>
                <w:color w:val="000000"/>
              </w:rPr>
              <w:t>Mały stopień skanalizowania znacznej powierzchni terenu LGD</w:t>
            </w:r>
          </w:p>
        </w:tc>
        <w:tc>
          <w:tcPr>
            <w:tcW w:w="599" w:type="dxa"/>
            <w:shd w:val="clear" w:color="auto" w:fill="FF6600"/>
          </w:tcPr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13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11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7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6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spacing w:line="360" w:lineRule="auto"/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5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5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spacing w:line="360" w:lineRule="auto"/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5</w:t>
            </w:r>
          </w:p>
          <w:p w:rsidR="00AA0303" w:rsidRPr="00555EE3" w:rsidRDefault="00AA0303" w:rsidP="00C15567">
            <w:pPr>
              <w:spacing w:line="360" w:lineRule="auto"/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5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4</w:t>
            </w: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</w:p>
          <w:p w:rsidR="00AA0303" w:rsidRPr="00555EE3" w:rsidRDefault="00AA0303" w:rsidP="00C15567">
            <w:pPr>
              <w:rPr>
                <w:rFonts w:cs="Calibri"/>
                <w:b/>
              </w:rPr>
            </w:pPr>
            <w:r w:rsidRPr="00555EE3">
              <w:rPr>
                <w:rFonts w:cs="Calibri"/>
                <w:b/>
              </w:rPr>
              <w:t>4</w:t>
            </w:r>
          </w:p>
        </w:tc>
      </w:tr>
    </w:tbl>
    <w:p w:rsidR="006704D7" w:rsidRDefault="00C15567">
      <w:r>
        <w:t>Analiza  SWOT</w:t>
      </w:r>
    </w:p>
    <w:p w:rsidR="00C15567" w:rsidRDefault="00C15567"/>
    <w:p w:rsidR="00C15567" w:rsidRDefault="00C15567"/>
    <w:p w:rsidR="00C15567" w:rsidRDefault="00C15567"/>
    <w:p w:rsidR="00C15567" w:rsidRDefault="00C15567"/>
    <w:p w:rsidR="00C15567" w:rsidRDefault="00C15567">
      <w:bookmarkStart w:id="0" w:name="_GoBack"/>
      <w:bookmarkEnd w:id="0"/>
    </w:p>
    <w:p w:rsidR="00C15567" w:rsidRDefault="00C15567"/>
    <w:p w:rsidR="00AA0303" w:rsidRDefault="00AA0303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567"/>
        <w:gridCol w:w="4110"/>
        <w:gridCol w:w="599"/>
      </w:tblGrid>
      <w:tr w:rsidR="00AA0303" w:rsidRPr="00205CCF" w:rsidTr="00DA31C3">
        <w:tc>
          <w:tcPr>
            <w:tcW w:w="3936" w:type="dxa"/>
            <w:shd w:val="clear" w:color="auto" w:fill="C6D9F1" w:themeFill="text2" w:themeFillTint="33"/>
          </w:tcPr>
          <w:p w:rsidR="00AA0303" w:rsidRPr="00205CCF" w:rsidRDefault="00AA0303" w:rsidP="00DA31C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SZANSE</w:t>
            </w:r>
          </w:p>
        </w:tc>
        <w:tc>
          <w:tcPr>
            <w:tcW w:w="567" w:type="dxa"/>
          </w:tcPr>
          <w:p w:rsidR="00AA0303" w:rsidRPr="00205CCF" w:rsidRDefault="00AA0303" w:rsidP="00DA31C3">
            <w:pPr>
              <w:rPr>
                <w:rFonts w:cs="Calibri"/>
              </w:rPr>
            </w:pPr>
            <w:r w:rsidRPr="00205CCF">
              <w:rPr>
                <w:rFonts w:cs="Calibri"/>
              </w:rPr>
              <w:t>pkt.</w:t>
            </w:r>
          </w:p>
        </w:tc>
        <w:tc>
          <w:tcPr>
            <w:tcW w:w="4110" w:type="dxa"/>
            <w:shd w:val="clear" w:color="auto" w:fill="CCC0D9" w:themeFill="accent4" w:themeFillTint="66"/>
          </w:tcPr>
          <w:p w:rsidR="00AA0303" w:rsidRPr="00205CCF" w:rsidRDefault="00AA0303" w:rsidP="00DA31C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ZAGROŻENIA</w:t>
            </w:r>
          </w:p>
        </w:tc>
        <w:tc>
          <w:tcPr>
            <w:tcW w:w="599" w:type="dxa"/>
          </w:tcPr>
          <w:p w:rsidR="00AA0303" w:rsidRPr="00205CCF" w:rsidRDefault="00AA0303" w:rsidP="00DA31C3">
            <w:pPr>
              <w:rPr>
                <w:rFonts w:cs="Calibri"/>
              </w:rPr>
            </w:pPr>
            <w:r w:rsidRPr="00205CCF">
              <w:rPr>
                <w:rFonts w:cs="Calibri"/>
              </w:rPr>
              <w:t>pkt.</w:t>
            </w:r>
          </w:p>
        </w:tc>
      </w:tr>
      <w:tr w:rsidR="00AA0303" w:rsidRPr="00205CCF" w:rsidTr="00DA31C3">
        <w:tc>
          <w:tcPr>
            <w:tcW w:w="3936" w:type="dxa"/>
            <w:vAlign w:val="center"/>
          </w:tcPr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>Wykorzystanie bliskości szlaków komunikacyjnych</w:t>
            </w:r>
            <w:r>
              <w:rPr>
                <w:rFonts w:ascii="Calibri" w:hAnsi="Calibri" w:cs="Arial"/>
                <w:color w:val="000000"/>
              </w:rPr>
              <w:t xml:space="preserve">: </w:t>
            </w:r>
            <w:r w:rsidRPr="00AF4EE8">
              <w:rPr>
                <w:rFonts w:ascii="Calibri" w:hAnsi="Calibri" w:cs="Arial"/>
                <w:color w:val="000000"/>
              </w:rPr>
              <w:t>au</w:t>
            </w:r>
            <w:r>
              <w:rPr>
                <w:rFonts w:ascii="Calibri" w:hAnsi="Calibri" w:cs="Arial"/>
                <w:color w:val="000000"/>
              </w:rPr>
              <w:t>to</w:t>
            </w:r>
            <w:r w:rsidRPr="00AF4EE8">
              <w:rPr>
                <w:rFonts w:ascii="Calibri" w:hAnsi="Calibri" w:cs="Arial"/>
                <w:color w:val="000000"/>
              </w:rPr>
              <w:t>strady oraz dr</w:t>
            </w:r>
            <w:r>
              <w:rPr>
                <w:rFonts w:ascii="Calibri" w:hAnsi="Calibri" w:cs="Arial"/>
                <w:color w:val="000000"/>
              </w:rPr>
              <w:t>óg</w:t>
            </w:r>
            <w:r w:rsidRPr="00AF4EE8">
              <w:rPr>
                <w:rFonts w:ascii="Calibri" w:hAnsi="Calibri" w:cs="Arial"/>
                <w:color w:val="000000"/>
              </w:rPr>
              <w:t xml:space="preserve"> krajow</w:t>
            </w:r>
            <w:r>
              <w:rPr>
                <w:rFonts w:ascii="Calibri" w:hAnsi="Calibri" w:cs="Arial"/>
                <w:color w:val="000000"/>
              </w:rPr>
              <w:t>ych</w:t>
            </w:r>
            <w:r w:rsidRPr="00AF4EE8">
              <w:rPr>
                <w:rFonts w:ascii="Calibri" w:hAnsi="Calibri" w:cs="Arial"/>
                <w:color w:val="000000"/>
              </w:rPr>
              <w:t>, dla przyciągnięcia inwestorów i rozwoju gospodarczego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>Rozwój agroturystyki w oparciu o infrastrukturę rekreacyjno-wypoczynkową oraz bogactwo krajobrazowo - przyrodnicze regionu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 xml:space="preserve">Przystosowanie naturalnych walorów środowiskowych gmin (lasy, jeziora) dla rozwoju turystyki i rekreacji 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 xml:space="preserve">Utworzenie atrakcyjnych terenów inwestycyjnych w celu przyciągnięcia inwestorów zewnętrznych i pobudzenia rozwoju gospodarczego 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</w:t>
            </w:r>
            <w:r w:rsidRPr="00AF4EE8">
              <w:rPr>
                <w:rFonts w:ascii="Calibri" w:hAnsi="Calibri" w:cs="Arial"/>
                <w:color w:val="000000"/>
              </w:rPr>
              <w:t>ozyskania zewnętrznych środków na finansowanie inwestycji związanych z ochroną środowiska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 xml:space="preserve">Systematyczne i konsekwentne promowanie regionalnych tradycji np. kulinarnych 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>Wykorzystanie mody na aktywne spędzanie czasu, zdrowe żywienie i zdrową żywność w celu rozwoju agroturystyki oraz proekologicznego rolnictwa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 xml:space="preserve">Organizacja ciekawych </w:t>
            </w:r>
            <w:r>
              <w:rPr>
                <w:rFonts w:ascii="Calibri" w:hAnsi="Calibri" w:cs="Arial"/>
                <w:color w:val="000000"/>
              </w:rPr>
              <w:t>przedsięwzięć/</w:t>
            </w:r>
            <w:r w:rsidRPr="00AF4EE8">
              <w:rPr>
                <w:rFonts w:ascii="Calibri" w:hAnsi="Calibri" w:cs="Arial"/>
                <w:color w:val="000000"/>
              </w:rPr>
              <w:t>imprez kulturalnych, sportowo-rekreacyjnych promujących</w:t>
            </w:r>
            <w:r>
              <w:rPr>
                <w:rFonts w:ascii="Calibri" w:hAnsi="Calibri" w:cs="Arial"/>
                <w:color w:val="000000"/>
              </w:rPr>
              <w:t xml:space="preserve"> obszar LGD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>Rozwój produkcji i usług w oparciu o lepsze wykorzystanie istniejących zasobów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>Zaoferowanie atrakcyjnych terenów na cele budownictwa mieszkaniowego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AF4EE8">
              <w:rPr>
                <w:rFonts w:ascii="Calibri" w:hAnsi="Calibri" w:cs="Arial"/>
                <w:color w:val="000000"/>
              </w:rPr>
              <w:t>Pozyskanie  inwestorów zewnętrznych</w:t>
            </w:r>
            <w:r w:rsidRPr="00205CCF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AA0303" w:rsidRDefault="00AA0303" w:rsidP="00DA31C3">
            <w:pPr>
              <w:spacing w:line="360" w:lineRule="auto"/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14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11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spacing w:line="360" w:lineRule="auto"/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8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7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6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spacing w:line="360" w:lineRule="auto"/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6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5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5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4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Default="00AA0303" w:rsidP="00DA31C3">
            <w:pPr>
              <w:spacing w:line="360" w:lineRule="auto"/>
              <w:rPr>
                <w:rFonts w:ascii="Calibri" w:hAnsi="Calibri" w:cs="Arial"/>
                <w:color w:val="000000"/>
              </w:rPr>
            </w:pPr>
          </w:p>
          <w:p w:rsidR="00AA0303" w:rsidRPr="00555EE3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4</w:t>
            </w:r>
          </w:p>
          <w:p w:rsidR="00AA0303" w:rsidRDefault="00AA0303" w:rsidP="00DA31C3">
            <w:pPr>
              <w:rPr>
                <w:rFonts w:ascii="Calibri" w:hAnsi="Calibri" w:cs="Arial"/>
                <w:color w:val="000000"/>
              </w:rPr>
            </w:pPr>
          </w:p>
          <w:p w:rsidR="00AA0303" w:rsidRPr="00205CCF" w:rsidRDefault="00AA0303" w:rsidP="00DA31C3">
            <w:pPr>
              <w:rPr>
                <w:rFonts w:ascii="Calibri" w:hAnsi="Calibri" w:cs="Arial"/>
                <w:color w:val="000000"/>
              </w:rPr>
            </w:pPr>
            <w:r w:rsidRPr="00555EE3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4110" w:type="dxa"/>
          </w:tcPr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Utrzym</w:t>
            </w:r>
            <w:r>
              <w:rPr>
                <w:rFonts w:ascii="Calibri" w:hAnsi="Calibri" w:cs="Arial"/>
                <w:color w:val="000000"/>
              </w:rPr>
              <w:t xml:space="preserve">anie </w:t>
            </w:r>
            <w:r w:rsidRPr="00774D8C">
              <w:rPr>
                <w:rFonts w:ascii="Calibri" w:hAnsi="Calibri" w:cs="Arial"/>
                <w:color w:val="000000"/>
              </w:rPr>
              <w:t xml:space="preserve">się </w:t>
            </w:r>
            <w:r>
              <w:rPr>
                <w:rFonts w:ascii="Calibri" w:hAnsi="Calibri" w:cs="Arial"/>
                <w:color w:val="000000"/>
              </w:rPr>
              <w:t xml:space="preserve">i wzrost </w:t>
            </w:r>
            <w:r w:rsidRPr="00774D8C">
              <w:rPr>
                <w:rFonts w:ascii="Calibri" w:hAnsi="Calibri" w:cs="Arial"/>
                <w:color w:val="000000"/>
              </w:rPr>
              <w:t>wysoki</w:t>
            </w:r>
            <w:r>
              <w:rPr>
                <w:rFonts w:ascii="Calibri" w:hAnsi="Calibri" w:cs="Arial"/>
                <w:color w:val="000000"/>
              </w:rPr>
              <w:t>ego</w:t>
            </w:r>
            <w:r w:rsidRPr="00774D8C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już dziś </w:t>
            </w:r>
            <w:r w:rsidRPr="00774D8C">
              <w:rPr>
                <w:rFonts w:ascii="Calibri" w:hAnsi="Calibri" w:cs="Arial"/>
                <w:color w:val="000000"/>
              </w:rPr>
              <w:t>poziom</w:t>
            </w:r>
            <w:r>
              <w:rPr>
                <w:rFonts w:ascii="Calibri" w:hAnsi="Calibri" w:cs="Arial"/>
                <w:color w:val="000000"/>
              </w:rPr>
              <w:t>u</w:t>
            </w:r>
            <w:r w:rsidRPr="00774D8C">
              <w:rPr>
                <w:rFonts w:ascii="Calibri" w:hAnsi="Calibri" w:cs="Arial"/>
                <w:color w:val="000000"/>
              </w:rPr>
              <w:t xml:space="preserve"> bezrobocia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Utrzymanie się lub pogłębienie trendu emigracyjnego o charakterze zarobkowym wśród młodych mieszkańców LGD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Postępujące starzenie się społeczeństwa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Utrzymywanie się i pogłębie</w:t>
            </w:r>
            <w:r w:rsidRPr="00774D8C">
              <w:rPr>
                <w:rFonts w:ascii="Calibri" w:hAnsi="Calibri" w:cs="Arial"/>
                <w:color w:val="000000"/>
              </w:rPr>
              <w:t>nie niskiego zaangażowanie mieszkańców w życie społeczne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Odchodzenie od kultywowania lokalnych tradycji i zwyczajów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Utrudnienia w dostępie do rynków zbytu (zarówno w kraju jak i na kierunku wschodnim)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Malejące możliwości dostępu do środków finansowych, szczególnie dotacji, z programów unijnych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Ryzyko niepowodzenia działań zwalczających patologie społeczne oraz występowanie zjawiska bezradności życiowej</w:t>
            </w:r>
          </w:p>
          <w:p w:rsidR="00AA0303" w:rsidRPr="00774D8C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 w:rsidRPr="00774D8C">
              <w:rPr>
                <w:rFonts w:ascii="Calibri" w:hAnsi="Calibri" w:cs="Arial"/>
                <w:color w:val="000000"/>
              </w:rPr>
              <w:t>Rosnący fiskalizm Państwa oraz post</w:t>
            </w:r>
            <w:r>
              <w:rPr>
                <w:rFonts w:ascii="Calibri" w:hAnsi="Calibri" w:cs="Arial"/>
                <w:color w:val="000000"/>
              </w:rPr>
              <w:t>ę</w:t>
            </w:r>
            <w:r w:rsidRPr="00774D8C">
              <w:rPr>
                <w:rFonts w:ascii="Calibri" w:hAnsi="Calibri" w:cs="Arial"/>
                <w:color w:val="000000"/>
              </w:rPr>
              <w:t>pujące komplikowanie procedur prowadzenia działalności gospodarczej</w:t>
            </w:r>
          </w:p>
          <w:p w:rsidR="00AA0303" w:rsidRPr="00AF4EE8" w:rsidRDefault="00AA0303" w:rsidP="00AA0303">
            <w:pPr>
              <w:pStyle w:val="Akapitzlist"/>
              <w:numPr>
                <w:ilvl w:val="0"/>
                <w:numId w:val="2"/>
              </w:numPr>
              <w:spacing w:before="0"/>
              <w:ind w:left="284" w:hanging="284"/>
              <w:contextualSpacing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</w:t>
            </w:r>
            <w:r w:rsidRPr="00774D8C">
              <w:rPr>
                <w:rFonts w:ascii="Calibri" w:hAnsi="Calibri" w:cs="Arial"/>
                <w:color w:val="000000"/>
              </w:rPr>
              <w:t xml:space="preserve">iewykorzystanie dogodnego położenia gminy w zasięgu szlaków komunikacyjnych </w:t>
            </w:r>
            <w:r w:rsidRPr="00205CCF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599" w:type="dxa"/>
            <w:shd w:val="clear" w:color="auto" w:fill="CCC0D9" w:themeFill="accent4" w:themeFillTint="66"/>
          </w:tcPr>
          <w:p w:rsidR="00AA0303" w:rsidRDefault="00AA0303" w:rsidP="00DA31C3">
            <w:pPr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13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12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spacing w:line="360" w:lineRule="auto"/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6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spacing w:line="360" w:lineRule="auto"/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5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spacing w:line="360" w:lineRule="auto"/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4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spacing w:line="360" w:lineRule="auto"/>
              <w:rPr>
                <w:rFonts w:cs="Calibri"/>
              </w:rPr>
            </w:pPr>
          </w:p>
          <w:p w:rsidR="00AA0303" w:rsidRPr="00555EE3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4</w:t>
            </w:r>
          </w:p>
          <w:p w:rsidR="00AA0303" w:rsidRDefault="00AA0303" w:rsidP="00DA31C3">
            <w:pPr>
              <w:rPr>
                <w:rFonts w:cs="Calibri"/>
              </w:rPr>
            </w:pPr>
          </w:p>
          <w:p w:rsidR="00AA0303" w:rsidRDefault="00AA0303" w:rsidP="00DA31C3">
            <w:pPr>
              <w:spacing w:line="360" w:lineRule="auto"/>
              <w:rPr>
                <w:rFonts w:cs="Calibri"/>
              </w:rPr>
            </w:pPr>
          </w:p>
          <w:p w:rsidR="00AA0303" w:rsidRPr="00205CCF" w:rsidRDefault="00AA0303" w:rsidP="00DA31C3">
            <w:pPr>
              <w:rPr>
                <w:rFonts w:cs="Calibri"/>
              </w:rPr>
            </w:pPr>
            <w:r w:rsidRPr="00555EE3">
              <w:rPr>
                <w:rFonts w:cs="Calibri"/>
              </w:rPr>
              <w:t>4</w:t>
            </w:r>
          </w:p>
        </w:tc>
      </w:tr>
    </w:tbl>
    <w:p w:rsidR="00AA0303" w:rsidRDefault="00AA0303"/>
    <w:sectPr w:rsidR="00AA0303" w:rsidSect="00C15567"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80" w:rsidRDefault="008F3880" w:rsidP="00C15567">
      <w:pPr>
        <w:spacing w:after="0" w:line="240" w:lineRule="auto"/>
      </w:pPr>
      <w:r>
        <w:separator/>
      </w:r>
    </w:p>
  </w:endnote>
  <w:endnote w:type="continuationSeparator" w:id="0">
    <w:p w:rsidR="008F3880" w:rsidRDefault="008F3880" w:rsidP="00C1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80" w:rsidRDefault="008F3880" w:rsidP="00C15567">
      <w:pPr>
        <w:spacing w:after="0" w:line="240" w:lineRule="auto"/>
      </w:pPr>
      <w:r>
        <w:separator/>
      </w:r>
    </w:p>
  </w:footnote>
  <w:footnote w:type="continuationSeparator" w:id="0">
    <w:p w:rsidR="008F3880" w:rsidRDefault="008F3880" w:rsidP="00C1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5820"/>
    <w:multiLevelType w:val="hybridMultilevel"/>
    <w:tmpl w:val="1CAC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00068"/>
    <w:multiLevelType w:val="hybridMultilevel"/>
    <w:tmpl w:val="8DD24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03"/>
    <w:rsid w:val="006704D7"/>
    <w:rsid w:val="008F3880"/>
    <w:rsid w:val="00AA0303"/>
    <w:rsid w:val="00C15567"/>
    <w:rsid w:val="00E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303"/>
    <w:pPr>
      <w:spacing w:before="120" w:after="120" w:line="240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AA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0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303"/>
    <w:pPr>
      <w:spacing w:before="120"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30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567"/>
  </w:style>
  <w:style w:type="paragraph" w:styleId="Stopka">
    <w:name w:val="footer"/>
    <w:basedOn w:val="Normalny"/>
    <w:link w:val="StopkaZnak"/>
    <w:uiPriority w:val="99"/>
    <w:unhideWhenUsed/>
    <w:rsid w:val="00C1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303"/>
    <w:pPr>
      <w:spacing w:before="120" w:after="120" w:line="240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AA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0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303"/>
    <w:pPr>
      <w:spacing w:before="120"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30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567"/>
  </w:style>
  <w:style w:type="paragraph" w:styleId="Stopka">
    <w:name w:val="footer"/>
    <w:basedOn w:val="Normalny"/>
    <w:link w:val="StopkaZnak"/>
    <w:uiPriority w:val="99"/>
    <w:unhideWhenUsed/>
    <w:rsid w:val="00C1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2015-12-10T12:18:00Z</cp:lastPrinted>
  <dcterms:created xsi:type="dcterms:W3CDTF">2015-12-10T12:15:00Z</dcterms:created>
  <dcterms:modified xsi:type="dcterms:W3CDTF">2015-12-10T12:24:00Z</dcterms:modified>
</cp:coreProperties>
</file>