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4D" w:rsidRPr="00E2404D" w:rsidRDefault="00E2404D" w:rsidP="00E2404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404D">
        <w:rPr>
          <w:rFonts w:ascii="Times New Roman" w:hAnsi="Times New Roman"/>
          <w:b/>
          <w:sz w:val="24"/>
          <w:szCs w:val="24"/>
        </w:rPr>
        <w:t>PODNOSZENIE WARTOŚCI PRODUKTÓW RYBACTWA, ROZWÓJ USŁUG NA RZECZ SPOŁECZNOŚCI ZAMIESZKUJĄCEJ OBSZARY ZALEŻNE OD RYBACTWA</w:t>
      </w:r>
    </w:p>
    <w:p w:rsidR="00E2404D" w:rsidRPr="001E0455" w:rsidRDefault="00E2404D" w:rsidP="00E2404D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838"/>
        <w:gridCol w:w="3314"/>
        <w:gridCol w:w="3827"/>
        <w:gridCol w:w="1701"/>
        <w:gridCol w:w="2977"/>
        <w:gridCol w:w="1701"/>
      </w:tblGrid>
      <w:tr w:rsidR="00E2404D" w:rsidRPr="001E0455" w:rsidTr="00F24E19">
        <w:trPr>
          <w:trHeight w:val="139"/>
        </w:trPr>
        <w:tc>
          <w:tcPr>
            <w:tcW w:w="661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8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OPIS, UZASADNIENIE</w:t>
            </w:r>
          </w:p>
          <w:p w:rsidR="00E2404D" w:rsidRPr="001E0455" w:rsidRDefault="00E2404D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ŹRÓDŁO WERYFIKACJI</w:t>
            </w:r>
          </w:p>
        </w:tc>
        <w:tc>
          <w:tcPr>
            <w:tcW w:w="1701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  <w:tc>
          <w:tcPr>
            <w:tcW w:w="2977" w:type="dxa"/>
            <w:shd w:val="clear" w:color="auto" w:fill="C2D69B"/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ADEKWATNOŚĆ</w:t>
            </w: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DO ANALIZY SWOT</w:t>
            </w:r>
          </w:p>
        </w:tc>
        <w:tc>
          <w:tcPr>
            <w:tcW w:w="1701" w:type="dxa"/>
            <w:shd w:val="clear" w:color="auto" w:fill="C2D69B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RODZAJ KRYTERIUM</w:t>
            </w:r>
          </w:p>
        </w:tc>
      </w:tr>
      <w:tr w:rsidR="00E2404D" w:rsidRPr="001E0455" w:rsidTr="00F24E19">
        <w:trPr>
          <w:trHeight w:val="139"/>
        </w:trPr>
        <w:tc>
          <w:tcPr>
            <w:tcW w:w="661" w:type="dxa"/>
          </w:tcPr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38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Wnioskowana kwota dofinansowania</w:t>
            </w:r>
          </w:p>
        </w:tc>
        <w:tc>
          <w:tcPr>
            <w:tcW w:w="3314" w:type="dxa"/>
          </w:tcPr>
          <w:p w:rsidR="00E2404D" w:rsidRPr="001E0455" w:rsidRDefault="00E2404D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Preferuje się projekty o niższej wnioskowanej kwocie dofinansowania. Zastosowanie tego kryterium wpłynie na zwiększenie liczby składanych projektów, co w efekcie zapewni większy zasięg oddziaływania LSROR. Kryterium to przyczyni się do możliwości rozdzielenia posiadanych środków finansowanych na większą liczbę operacji, a tym samym wsparcie większej liczby beneficjentów w ramach działania. Pozwoli na realizację mniejszych projektów, które jednocześnie wymagają mniejszego zabezpieczenia wkładu własnego.</w:t>
            </w:r>
          </w:p>
        </w:tc>
        <w:tc>
          <w:tcPr>
            <w:tcW w:w="3827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o dofinansowanie , </w:t>
            </w: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</w:t>
            </w:r>
          </w:p>
        </w:tc>
        <w:tc>
          <w:tcPr>
            <w:tcW w:w="1701" w:type="dxa"/>
          </w:tcPr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powyżej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0 000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2404D" w:rsidRDefault="00E2404D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od 100 000 do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0 000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E2404D" w:rsidRPr="001E0455" w:rsidRDefault="00E2404D" w:rsidP="00F24E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631AD">
              <w:rPr>
                <w:rFonts w:ascii="Times New Roman" w:hAnsi="Times New Roman"/>
                <w:sz w:val="20"/>
                <w:szCs w:val="20"/>
              </w:rPr>
              <w:t xml:space="preserve"> od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31AD">
              <w:rPr>
                <w:rFonts w:ascii="Times New Roman" w:hAnsi="Times New Roman"/>
                <w:sz w:val="20"/>
                <w:szCs w:val="20"/>
              </w:rPr>
              <w:t>50 000 do 100 000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- 10 pkt.</w:t>
            </w:r>
          </w:p>
          <w:p w:rsidR="00E2404D" w:rsidRPr="001E0455" w:rsidRDefault="00E2404D" w:rsidP="00F24E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poniżej 5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0 000 zł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4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Skomplikowane procedury pozyskiwania </w:t>
            </w:r>
            <w:r w:rsidRPr="001E0455">
              <w:rPr>
                <w:rFonts w:ascii="Times New Roman" w:eastAsia="TTE1C96F18t00" w:hAnsi="Times New Roman"/>
                <w:sz w:val="18"/>
                <w:szCs w:val="18"/>
              </w:rPr>
              <w:t>ś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rodków zewn</w:t>
            </w:r>
            <w:r w:rsidRPr="001E0455">
              <w:rPr>
                <w:rFonts w:ascii="Times New Roman" w:eastAsia="TTE1C96F18t00" w:hAnsi="Times New Roman"/>
                <w:sz w:val="18"/>
                <w:szCs w:val="18"/>
              </w:rPr>
              <w:t>ę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trznych i zabezpieczeń wkładu własnego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Ograniczona ilość środków z Programu Operacyjnego Ryby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ILOŚCIOWE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139"/>
        </w:trPr>
        <w:tc>
          <w:tcPr>
            <w:tcW w:w="661" w:type="dxa"/>
          </w:tcPr>
          <w:p w:rsidR="00E2404D" w:rsidRPr="001E0455" w:rsidRDefault="00E2404D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38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Zakres operacji dotyczy odnowienia, zachowania lub promocji tradycji rybackich na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obszarze LSROR LGD Dorzecza Zgłowiączki</w:t>
            </w:r>
          </w:p>
        </w:tc>
        <w:tc>
          <w:tcPr>
            <w:tcW w:w="3314" w:type="dxa"/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Wspierane będą operacje wykorzystujące istniejące tradycje rybackie na obszarze objętym LSROR oraz operacje mające na celu pielęgnowanie tych tradycji.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Zakłada się również realizację operacji promujących obszar LGR jako bogatych i ciekawych tradycji rybackich. Promocja wpłynie na stworzenie nowych atrakcji turystycznych i kulturowych, zwiększenie spożycia ryb, a także wyrobienie dobrych nawyków proekologicznych wśród mieszkańców i turystów. Przykładowe typy operacji: tworzenie, modernizacja, wyposażenie skansenów, muzeów; utworzenie tematycznej „Wioski Rybackiej”; warsztaty kulinarne promujące spożycie ryb; wydawanie publikacji, folderów promujących tradycje rybackie obszaru objętego LSROR, rozwijanie działalności gospodarczej związanej z historią i tradycjami rybackimi, np. lokale użytkowe stylizowane na wzór nawiązujący do tradycji rybackich, etc.</w:t>
            </w:r>
          </w:p>
        </w:tc>
        <w:tc>
          <w:tcPr>
            <w:tcW w:w="3827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Wniosek o dofinansowanie ,</w:t>
            </w: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 załączniki do wniosku</w:t>
            </w:r>
          </w:p>
        </w:tc>
        <w:tc>
          <w:tcPr>
            <w:tcW w:w="1701" w:type="dxa"/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nie zakłada odnowienia, zachowania lub promocji tradycji rybackich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pkt.,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dotyczy odnowienia lub zachowania lub  promocji tradycji rybackich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Tradycja spożywania ryb słodkowodnych i wielowiekowa tradycja rybactwa sięgająca kilku tysięcy lat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Regionalne tradycje kulinarne zwiększające potencjał turystyczny obszaru LGR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Brak miejsc kultywujących tradycje rybackie 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Zaniedbane i zniszczone zabytki regionu.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Moda na ekologiczny styl życia, w tym na produkty pochodzące z ekologicznych upraw oraz produkty tradycyjne jako szansa rozwoju ekologicznego rolnictwa na terenie LGR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 Promocja regionu, produktów lokalnych, usług i walorów przyrodniczo-kulturowych związanych z rybactwem i wędkarstwem.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projekt utworzenia tematycznej „Wioski Rybackiej” szansą na wykreowanie silnego markowego produktu turystycznego w skali regionu, kraju i nie tylko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Odchodzenie społeczeństwa od kultywowania tradycji Kujaw – zatracenie dorobku kulturalnego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Słaby system promocji ryb i produktów rybnych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Bogata historia ziem objętych LSROR od czasów Neolitu (4000 </w:t>
            </w:r>
            <w:proofErr w:type="spellStart"/>
            <w:r w:rsidRPr="001E0455">
              <w:rPr>
                <w:rFonts w:ascii="Times New Roman" w:hAnsi="Times New Roman"/>
                <w:sz w:val="20"/>
                <w:szCs w:val="20"/>
              </w:rPr>
              <w:t>l.p.n.e</w:t>
            </w:r>
            <w:proofErr w:type="spellEnd"/>
            <w:r w:rsidRPr="001E0455">
              <w:rPr>
                <w:rFonts w:ascii="Times New Roman" w:hAnsi="Times New Roman"/>
                <w:sz w:val="20"/>
                <w:szCs w:val="20"/>
              </w:rPr>
              <w:t xml:space="preserve">) do teraźniejszości </w:t>
            </w:r>
          </w:p>
        </w:tc>
        <w:tc>
          <w:tcPr>
            <w:tcW w:w="1701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283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4008"/>
        </w:trPr>
        <w:tc>
          <w:tcPr>
            <w:tcW w:w="661" w:type="dxa"/>
          </w:tcPr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38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Operacja ma charakter innowacyjny</w:t>
            </w:r>
          </w:p>
        </w:tc>
        <w:tc>
          <w:tcPr>
            <w:tcW w:w="3314" w:type="dxa"/>
          </w:tcPr>
          <w:p w:rsidR="00E2404D" w:rsidRPr="001E0455" w:rsidRDefault="00E2404D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 przyczyniające się do wzrostu konkurencyjności obszaru objętego LSROR dzięki wprowadzeniu lub promowaniu innowacyjności technologicznej, procesowej (współpraca między podmiotami lokalnymi), edukacyjnej. Kryterium będzie spełnione, jeśli wnioskodawca zastosuje rozwiązania i pomysły dotychczas nie stosowane na obszarze LGR, gminy lub innowacyjne dla danego wnioskodawcy, np. jako jego pomysł autorski. Typy operacji uznawane za innowacyjne: rozwój nowych funkcji obszaru, wykorzystanie nowoczesnych technik teleinformatycznych, nowy sposób angażowania, integracji społeczności lokalnych, nowatorski, kreatywny sposób edukacji, nowatorski sposób wykorzystania lokalnych zasobów, realizacja działań proekologicznych itp.</w:t>
            </w:r>
          </w:p>
        </w:tc>
        <w:tc>
          <w:tcPr>
            <w:tcW w:w="3827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Wniosek o dofinansowanie , załączniki do wniosku</w:t>
            </w:r>
          </w:p>
        </w:tc>
        <w:tc>
          <w:tcPr>
            <w:tcW w:w="1701" w:type="dxa"/>
          </w:tcPr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brak innowacyjności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w skali wnioskodawcy (autorski pomysł wnioskodawcy)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2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w skali gminy, na terenie której będzie realizowana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na terenie obszaru objętego LSROR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10 pkt,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Niski poziom innowacyjnych rozwiązań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Innowacyjny projekt utworzenia tematycznej „Wioski Rybackiej” szansą na wykreowanie silnego markowego produktu turystycznego w skali regionu, kraju i nie tylko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Wzrastające zainteresowanie rybami reofilnymi wśród wędkarzy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Pozyskiwanie energii ze źródeł odnawialnych sposobem na uzyskiwanie dochodów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Wspieranie działań proekologicznych i informatyzacji na obszarach rybackich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Niskie kwalifikacje ludności i poziom wykształcenia.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Dobre warunki do pozyskiwania energii ze źródeł odnawialnych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Integracja środowiska rybackiego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Duża grupa mieszkańców wykluczonych społecznie oraz wynikająca z tego bieda i apatia, marazm, zniechęcenie</w:t>
            </w:r>
          </w:p>
        </w:tc>
        <w:tc>
          <w:tcPr>
            <w:tcW w:w="1701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JAKOŚCIOWE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400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631AD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3631AD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3631AD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  <w:r w:rsidRPr="003631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631AD" w:rsidRDefault="00E2404D" w:rsidP="00F2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04D" w:rsidRPr="003631AD" w:rsidRDefault="00E2404D" w:rsidP="00F2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1AD">
              <w:rPr>
                <w:rFonts w:ascii="Times New Roman" w:hAnsi="Times New Roman"/>
                <w:b/>
                <w:sz w:val="24"/>
                <w:szCs w:val="24"/>
              </w:rPr>
              <w:t>Wnioskodawca nie ma doświadczenia w realizacji projektów ze środków UE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500615" w:rsidRDefault="00E2404D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Preferuje się wnioskodawców, którzy nie posiadają </w:t>
            </w:r>
            <w:proofErr w:type="spellStart"/>
            <w:r w:rsidRPr="00500615">
              <w:rPr>
                <w:rFonts w:ascii="Times New Roman" w:hAnsi="Times New Roman"/>
                <w:sz w:val="20"/>
                <w:szCs w:val="20"/>
              </w:rPr>
              <w:t>doświadczeniae</w:t>
            </w:r>
            <w:proofErr w:type="spellEnd"/>
            <w:r w:rsidRPr="00500615">
              <w:rPr>
                <w:rFonts w:ascii="Times New Roman" w:hAnsi="Times New Roman"/>
                <w:sz w:val="20"/>
                <w:szCs w:val="20"/>
              </w:rPr>
              <w:t xml:space="preserve"> w realizacji inwestycji projektów dofinansowanych ze środków UE, tzn. zrealizowali i rozliczyli inwestycje. Zastosowanie tego kryterium przyczyni się do pobudzenia i zachęcenia nowych  podmiotów do realizacji inwestycji. Kryterium to będzie zapobiegało również udzielaniu dofinansowania tym samym beneficjentom.</w:t>
            </w:r>
          </w:p>
          <w:p w:rsidR="00E2404D" w:rsidRPr="00500615" w:rsidRDefault="00E2404D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50061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Oświadczenie wnioskodawcy o niezrealizowaniu inwestycji– wzór określony w Rozdziale 8 Opis procedur oceny operacji przez Komitet.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50061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>-zrealizowano projekty – 0 pkt.,</w:t>
            </w:r>
          </w:p>
          <w:p w:rsidR="00E2404D" w:rsidRPr="0050061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>- nie zrealizowano projektów – 5 pkt.,</w:t>
            </w:r>
          </w:p>
          <w:p w:rsidR="00E2404D" w:rsidRPr="00500615" w:rsidRDefault="00E2404D" w:rsidP="00F24E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50061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 xml:space="preserve">Niski wskaźnik przedsiębiorczości społeczeństwa </w:t>
            </w:r>
          </w:p>
          <w:p w:rsidR="00E2404D" w:rsidRPr="0050061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>Niskie kwalifikacje ludności i poziom wykształcenia</w:t>
            </w:r>
          </w:p>
          <w:p w:rsidR="00E2404D" w:rsidRPr="0050061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>Wdrażanie dobrych wzorców w zakresie przedsiębiorczości oraz wzmacnianie potencjału w pozyskiwaniu zewnętrznych źródeł finansowania.</w:t>
            </w:r>
          </w:p>
          <w:p w:rsidR="00E2404D" w:rsidRPr="00500615" w:rsidRDefault="00E2404D" w:rsidP="00F24E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404D" w:rsidRPr="00500615" w:rsidRDefault="00E2404D" w:rsidP="00F24E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404D" w:rsidRPr="0050061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ILOŚCIOWE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708"/>
        </w:trPr>
        <w:tc>
          <w:tcPr>
            <w:tcW w:w="661" w:type="dxa"/>
          </w:tcPr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38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 efekcie realizacji operacji zostaną utrzymane lub powstaną nowe miejsca pracy</w:t>
            </w:r>
          </w:p>
        </w:tc>
        <w:tc>
          <w:tcPr>
            <w:tcW w:w="3314" w:type="dxa"/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operacje,  w efekcie których zostaną utrzymane dotychczasowe miejsca pracy lub też powstaną nowe miejsca pracy. Nowe miejsce pracy rozumiane jest jako wzrost średniorocznego zatrudnienia w stosunku do średniorocznego zatrudnienia w okresie ostatnich 12 m-</w:t>
            </w:r>
            <w:proofErr w:type="spellStart"/>
            <w:r w:rsidRPr="001E0455">
              <w:rPr>
                <w:rFonts w:ascii="Times New Roman" w:hAnsi="Times New Roman"/>
                <w:sz w:val="20"/>
                <w:szCs w:val="20"/>
              </w:rPr>
              <w:t>cy</w:t>
            </w:r>
            <w:proofErr w:type="spellEnd"/>
            <w:r w:rsidRPr="001E0455">
              <w:rPr>
                <w:rFonts w:ascii="Times New Roman" w:hAnsi="Times New Roman"/>
                <w:sz w:val="20"/>
                <w:szCs w:val="20"/>
              </w:rPr>
              <w:t xml:space="preserve"> przed dniem złożenia wniosku o dofinansowanie lub samozatrudnienie.</w:t>
            </w:r>
          </w:p>
          <w:p w:rsidR="00E2404D" w:rsidRPr="001E0455" w:rsidRDefault="00E2404D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404D" w:rsidRPr="001E0455" w:rsidRDefault="00E2404D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Wniosek o dofinansowanie , załączniki do wniosku (plan finansowy operacji, biznesplan)</w:t>
            </w:r>
          </w:p>
        </w:tc>
        <w:tc>
          <w:tcPr>
            <w:tcW w:w="1701" w:type="dxa"/>
          </w:tcPr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nastąpi redukcja zatrudnienia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 dotychczasowe miejsca pracy zostaną utrzymane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 – 2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powstanie 1 miejsce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powstaną 2  miejsca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10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powstaną 3  miejsca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15 pkt.,</w:t>
            </w:r>
          </w:p>
          <w:p w:rsidR="00E2404D" w:rsidRPr="001E0455" w:rsidRDefault="00E2404D" w:rsidP="00F24E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powstanie 4 i więcej miejsc pracy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- 20 pkt.</w:t>
            </w:r>
          </w:p>
        </w:tc>
        <w:tc>
          <w:tcPr>
            <w:tcW w:w="2977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Duże bezrobocie 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Ograniczony rynek pracy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Niskie dochody ludności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Niski wskaźnik przedsiębiorczości społeczeństwa 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Brak wspomagających działań dla przedsiębiorców i przedsiębiorczości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Wzrost bezrobocia na skutek dekoniunktury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Planowana budowa autostrady wraz z węzłami zjazdowymi na terenie działania LGR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Moda na turystykę i agroturystykę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Wspieranie działań proekologicznych i informatyzacji na obszarach rybackich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Potencjał rozwoju rynku dla lokalnych produktów (dziedzictwo kulinarne)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Rozwój przedsiębiorczości na obszarach rybackich ze szczególnym uwzględnieniem agroturystyki i oferty rekreacyjno - turystycznej w szczególności wędkarstwa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Wdrażanie dobrych wzorców w zakresie przedsiębiorczości oraz wzmacnianie potencjału w pozyskiwaniu zewnętrznych źródeł finansowania</w:t>
            </w:r>
          </w:p>
        </w:tc>
        <w:tc>
          <w:tcPr>
            <w:tcW w:w="1701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ILOŚCIOWE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835"/>
        </w:trPr>
        <w:tc>
          <w:tcPr>
            <w:tcW w:w="661" w:type="dxa"/>
            <w:tcBorders>
              <w:bottom w:val="single" w:sz="4" w:space="0" w:color="000000"/>
            </w:tcBorders>
          </w:tcPr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04D" w:rsidRPr="001E0455" w:rsidRDefault="00E2404D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Wnioskodawca spełnia warunki, o których mowa w §2, ust. 1 rozporządzenia Ministra Rolnictwa i Rozwoju Wsi z dnia 29 września 2009r. lub jest zatrudniony przez taki podmiot</w:t>
            </w:r>
          </w:p>
        </w:tc>
        <w:tc>
          <w:tcPr>
            <w:tcW w:w="3314" w:type="dxa"/>
            <w:tcBorders>
              <w:bottom w:val="single" w:sz="4" w:space="0" w:color="000000"/>
            </w:tcBorders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 składane przez podmioty uprawnione do rybactwa, określone w  §2, ust. 1 rozporządzenia Ministra Rolnictwa i Rozwoju Wsi z dnia 29 września 2009r. lub wnioskodawca jest zatrudniony przez taki podmiot.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Wsparcie podmiotów rybackich przyczyni się do osiągnięcia wszystkich celów LSROR: turystyki, rozwoju przedsiębiorczości, świadomości ekologicznej, jak również aktywizacji i integracji społeczności.</w:t>
            </w: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04D" w:rsidRPr="001E045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E2404D" w:rsidRPr="001E0455" w:rsidRDefault="00E2404D" w:rsidP="00F24E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Wniosek o dofinansowanie , 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/>
                <w:sz w:val="18"/>
                <w:szCs w:val="18"/>
              </w:rPr>
              <w:t>Rodzaje dokumentów potwierdzających spełnienie kryterium: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uprawnionych do rybactwa, o których mowa w art. 4 ust. 1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ustawy z dnia 18 kwietnia 1985 r. o rybactwie śródlądowym: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kopia decyzji powiatowego lekarza weterynarii albo 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cs="Calibri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wydane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potwierdzające zawarcie umowy/umów z osobą lub osobami władającymi obwodem rybackim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-kopię umowy</w:t>
            </w:r>
            <w:r w:rsidRPr="001E04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zawartej</w:t>
            </w:r>
            <w:r w:rsidRPr="001E04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ANR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przenoszącej posiadanie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gruntów pod wodami stojącymi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na uprawnionego do rybactwa, z której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wynika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obowiązek prowadzenia gospodarki rybackiej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kopia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 osobą władającą obwodem rybackim,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wypis z ewidencji gruntów i budynków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dotyczący powierzchni gruntów pod wodami, gruntów pod stawami rybnymi, gruntów pod innymi urządzeniami w gospodarstwie rolnym przeznaczonymi do chowu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lub hodowli ryb lub gruntów pod sztucznymi zbiornikami wodnymi oraz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umowy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z której wynika informacja dotycząca powierzchni i tytułu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prawnego do tych gruntów, jeśli z wypisu z ewidencji gruntów i budynków nie wynika, kto jest aktualnym posiadaczem tych gruntów (na przykład umowa dzierżawy),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uprawnionych do rybactwa, o których mowa w art. 4 ust. 1 ustawy o rybactwie śródlądowym, jeżeli na obszarze objętym LSROR uzyskują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z rocznego chowu lub hodowli ryb łososiowatych nie mniej niż 5 ton tych ryb: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kopię decyzji powiatowego lekarza weterynarii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kopie faktur lub rachunków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dokumentujących roczną produkcję ryb łososiowatych nie mniejszą niż 5 ton lub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formularza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statystycznego RRW-22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, wraz 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potwierdzeniem jego złożenia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w którym podano roczną produkcję ryb łososiowatych.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W przypadku domowników podmiotów, o </w:t>
            </w: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lastRenderedPageBreak/>
              <w:t>których mowa w § 2 ust.1 pkt 1 Rozporządzenia (tj. domowników uprawnionych do rybactwa):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zaświadczenie o długości okresu ubezpieczenia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 Kasie </w:t>
            </w:r>
            <w:proofErr w:type="spellStart"/>
            <w:r w:rsidRPr="001E0455">
              <w:rPr>
                <w:rFonts w:ascii="Times New Roman" w:hAnsi="Times New Roman"/>
                <w:sz w:val="18"/>
                <w:szCs w:val="18"/>
              </w:rPr>
              <w:t>RolniczegoUbezpieczenia</w:t>
            </w:r>
            <w:proofErr w:type="spellEnd"/>
            <w:r w:rsidRPr="001E0455">
              <w:rPr>
                <w:rFonts w:ascii="Times New Roman" w:hAnsi="Times New Roman"/>
                <w:sz w:val="18"/>
                <w:szCs w:val="18"/>
              </w:rPr>
              <w:t xml:space="preserve"> Społecznego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w 2009 r.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pracowników podmiotów, o których mowa w § 2 ust. 1 pkt 1rozporządzenia (tj. pracowników uprawnionych do rybactwa):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oświadczenie pracodawcy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przedsiębiorcy, który na obszarze objętym LSROR, na podstawie umowy z uprawnionym do rybactwa prowadzi połowy ryb, skorupiaków, mięczaków lub innych organizmów żyjących w wodzie</w:t>
            </w:r>
            <w:r w:rsidRPr="001E0455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umowy z uprawnionym do rybactwa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na podstawie której na obszarze objętym LSROR prowadzi on połowy ryb, skorupiaków, mięczaków lub innych organizmów żyjących w wodzie;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aktualny 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o dokonaniu wpisu do ewidencji działalności gospodarczej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wskazujące na przedmiot działalności tego przedsiębiorcy;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osób zatrudnionych na podstawie umowy o pracę przez przedsiębiorcę, który na podstawie umowy z uprawnionym do rybactwa prowadzi połowy ryb, skorupiaków, mięczaków lub innych organizmów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żyjących w wodzie: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oświadczenie pracodawcy;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W przypadku osoby zatrudnionej na podstawie umowy o pracę przez stowarzyszenie, fundację lub inną organizację społeczną, która prowadzi, chów, hodowlę lub połów ryb, skorupiaków, </w:t>
            </w: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lastRenderedPageBreak/>
              <w:t>mięczaków lub innych organizmów żyjących w wodzie, jeżeli świadczą pracę na obszarze objętym LSROR: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oświadczenie pracodawcy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według wzoru </w:t>
            </w:r>
            <w:proofErr w:type="spellStart"/>
            <w:r w:rsidRPr="001E0455">
              <w:rPr>
                <w:rFonts w:ascii="Times New Roman" w:hAnsi="Times New Roman"/>
                <w:sz w:val="18"/>
                <w:szCs w:val="18"/>
              </w:rPr>
              <w:t>przygotowan</w:t>
            </w:r>
            <w:proofErr w:type="spellEnd"/>
            <w:r w:rsidRPr="001E0455">
              <w:rPr>
                <w:rFonts w:ascii="Times New Roman" w:hAnsi="Times New Roman"/>
                <w:sz w:val="18"/>
                <w:szCs w:val="18"/>
              </w:rPr>
              <w:t>. przez Instytucję Zarządzającą o liczbie zatrudnionych pracowników odpowiadającej liczbie rocznych jednostek roboczych (RJR);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aktualny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dotyczący stowarzyszenia, fundacji lub innej organizacji społecznej;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kopię decyzji powiatowego lekarza weterynarii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wydane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potwierdzające zawarcie umowy/umów z osobą lub osobami władającymi obwodem rybackim 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kopię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ANR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przenoszącej posiadanie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gruntów pod wodami stojącymi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na uprawnionego do rybactwa, z której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wynika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obowiązek prowadzenia gospodarki rybackiej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kopia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 osobą władającą obwodem rybackim;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podmiotów prowadzących działalność w zakresie przetwórstwa ryb, skorupiaków, mięczaków i innych organizmów żyjących w wodzie, jeżeli siedziba albo miejsce zamieszkania tych podmiotów znajduje się na obszarze objętym LSROR: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aktualny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albo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zaświadczenie o dokonaniu wpisu do ewidencji działalności gospodarczej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wskazujące na przedmiot działalności</w:t>
            </w:r>
          </w:p>
          <w:p w:rsidR="00E2404D" w:rsidRPr="001E0455" w:rsidRDefault="00E2404D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kopię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decyzji powiatowego lekarza weterynarii2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), albo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zaświadczenie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o wydaniu takiej decyzji</w:t>
            </w:r>
          </w:p>
        </w:tc>
        <w:tc>
          <w:tcPr>
            <w:tcW w:w="1701" w:type="dxa"/>
          </w:tcPr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wniosek złożony przez pozostałych wnioskodawców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na podstawie załączonych dokumentów można stwierdzić, że Wnioskodawca spełnia warunki, o których mowa w §2, ust. 1 rozporządzenia Ministra Rolnictwa i Rozwoju Wsi z dnia 29 września 2009r. lub jest zatrudniony przez taki podmiot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24 pkt.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Słaba organizacja sektora rybackiego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Słaby system promocji ryb i produktów rybnych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Niska opłacalność działalności rybackiej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Profesjonalna gospodarka rybacka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Duże walory  wędkarskie regionu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Wielokierunkowa działalność wielu pomiotów gospodarczych związanych z rybactwem (produkcja jeziorowa, akwakultura, mała gastronomia, łowiska komercyjne) - tworzenie wartości dodanej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Wdrażanie dobrych wzorców w zakresie przedsiębiorczości oraz wzmacnianie potencjału w pozyskiwaniu zewnętrznych źródeł finansowania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Integracja środowiska rybackiego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Regularne zarybienia rzek 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jezior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Rozwój przedsiębiorczości na obszarach rybackich  ze szczególnym uwzględnieniem agroturystyki i oferty rekreacyjno-turystycznej w szczególności wędkarstwa.</w:t>
            </w:r>
          </w:p>
        </w:tc>
        <w:tc>
          <w:tcPr>
            <w:tcW w:w="1701" w:type="dxa"/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83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55C29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355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A04">
              <w:rPr>
                <w:rFonts w:ascii="Times New Roman" w:hAnsi="Times New Roman"/>
                <w:b/>
                <w:sz w:val="20"/>
                <w:szCs w:val="20"/>
              </w:rPr>
              <w:t>Operacja przyczyni się do dostosowania obiektów turystycznych i sportowo-rekreacyjnych do potrzeb osób niepełnosprawnych.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F37033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9E4">
              <w:rPr>
                <w:rFonts w:ascii="Times New Roman" w:hAnsi="Times New Roman"/>
                <w:sz w:val="20"/>
                <w:szCs w:val="20"/>
              </w:rPr>
              <w:t>Preferowane dodatkowo  będą operacje, które przyczyniać się będą do dostosowania obiektów do potrzeb osób 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859E4" w:rsidRDefault="00E2404D" w:rsidP="00F24E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9E4">
              <w:rPr>
                <w:rFonts w:ascii="Times New Roman" w:hAnsi="Times New Roman"/>
                <w:sz w:val="20"/>
                <w:szCs w:val="20"/>
              </w:rPr>
              <w:t>Wniosek o dofinansowanie , załączniki do wniosku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55C29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04">
              <w:rPr>
                <w:rFonts w:ascii="Times New Roman" w:hAnsi="Times New Roman"/>
                <w:sz w:val="20"/>
                <w:szCs w:val="20"/>
              </w:rPr>
              <w:t>operacja nie przyczyni się do dostosowania obiektów turystycznych i sportowo-rekreacyjnych do potrzeb osób niepełnosprawnych</w:t>
            </w:r>
            <w:r w:rsidRPr="00E95A04">
              <w:rPr>
                <w:rFonts w:ascii="Times New Roman" w:hAnsi="Times New Roman"/>
                <w:sz w:val="20"/>
                <w:szCs w:val="20"/>
              </w:rPr>
              <w:tab/>
            </w:r>
            <w:r w:rsidRPr="00355C29">
              <w:rPr>
                <w:rFonts w:ascii="Times New Roman" w:hAnsi="Times New Roman"/>
                <w:sz w:val="20"/>
                <w:szCs w:val="20"/>
              </w:rPr>
              <w:t>-0 pkt.</w:t>
            </w:r>
          </w:p>
          <w:p w:rsidR="00E2404D" w:rsidRPr="00A56F54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04">
              <w:rPr>
                <w:rFonts w:ascii="Times New Roman" w:hAnsi="Times New Roman"/>
                <w:sz w:val="20"/>
                <w:szCs w:val="20"/>
              </w:rPr>
              <w:t>operacja przyczyni się do dostosowania obiektów turystycznych i sportowo-rekreacyjnych do potrzeb osób niepełnosprawnych</w:t>
            </w:r>
            <w:r w:rsidRPr="00E95A04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55C29">
              <w:rPr>
                <w:rFonts w:ascii="Times New Roman" w:hAnsi="Times New Roman"/>
                <w:sz w:val="20"/>
                <w:szCs w:val="20"/>
              </w:rPr>
              <w:t>2 pkt.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F37033" w:rsidRDefault="00E2404D" w:rsidP="00E2404D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7033">
              <w:rPr>
                <w:color w:val="auto"/>
                <w:sz w:val="18"/>
                <w:szCs w:val="18"/>
                <w:lang w:eastAsia="en-US"/>
              </w:rPr>
              <w:t xml:space="preserve">Słabo rozwinięta infrastruktura techniczna na obszarze działania, </w:t>
            </w:r>
          </w:p>
          <w:p w:rsidR="00E2404D" w:rsidRPr="00F37033" w:rsidRDefault="00E2404D" w:rsidP="00E2404D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7033">
              <w:rPr>
                <w:color w:val="auto"/>
                <w:sz w:val="18"/>
                <w:szCs w:val="18"/>
                <w:lang w:eastAsia="en-US"/>
              </w:rPr>
              <w:t>Słaby dostęp mieszkańców do oferty kulturalno - oświatowej oraz nowoczesnych technologii (Internet)</w:t>
            </w:r>
          </w:p>
          <w:p w:rsidR="00E2404D" w:rsidRPr="00F37033" w:rsidRDefault="00E2404D" w:rsidP="00E2404D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7033">
              <w:rPr>
                <w:color w:val="auto"/>
                <w:sz w:val="18"/>
                <w:szCs w:val="18"/>
                <w:lang w:eastAsia="en-US"/>
              </w:rPr>
              <w:t>Duża grupa mieszkańców wykluczonych społecznie oraz wynikająca z tego bieda i apatia, marazm, zniechęcenie</w:t>
            </w:r>
          </w:p>
          <w:p w:rsidR="00E2404D" w:rsidRPr="001E0455" w:rsidRDefault="00E2404D" w:rsidP="00E2404D">
            <w:pPr>
              <w:pStyle w:val="Default"/>
              <w:numPr>
                <w:ilvl w:val="0"/>
                <w:numId w:val="8"/>
              </w:numPr>
              <w:ind w:left="394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F37033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7033">
              <w:rPr>
                <w:rFonts w:ascii="Times New Roman" w:hAnsi="Times New Roman"/>
                <w:b/>
                <w:sz w:val="16"/>
                <w:szCs w:val="16"/>
              </w:rPr>
              <w:t>KRYTERIUM MIERZALNE JAKOŚCIOWE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7033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1E0455" w:rsidTr="00F24E19">
        <w:trPr>
          <w:trHeight w:val="83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631AD" w:rsidRDefault="00E2404D" w:rsidP="00F24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F54">
              <w:rPr>
                <w:rFonts w:ascii="Times New Roman" w:hAnsi="Times New Roman"/>
                <w:b/>
                <w:sz w:val="20"/>
                <w:szCs w:val="20"/>
              </w:rPr>
              <w:t xml:space="preserve">Wnioskodawca jest członkiem Stowarzyszenia Lokalna Grupa Działania Dorzecza Zgłowiączki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500615" w:rsidRDefault="00E2404D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Wspierane będą operacje, które zamierzają realizować Wnioskodawcy będący członkami Stowarzyszenia Lokalna Grupa Działania Dorzecza Zgłowiączki. Preferowana będzie aktywność mieszkańców obszaru i zaangażowanie w realizację wizji </w:t>
            </w:r>
            <w:r w:rsidRPr="00500615">
              <w:rPr>
                <w:rFonts w:ascii="Times New Roman" w:hAnsi="Times New Roman"/>
                <w:sz w:val="20"/>
                <w:szCs w:val="20"/>
              </w:rPr>
              <w:lastRenderedPageBreak/>
              <w:t>Stowarzyszenia.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3631AD" w:rsidRDefault="00E2404D" w:rsidP="00F24E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1AD">
              <w:rPr>
                <w:rFonts w:ascii="Times New Roman" w:hAnsi="Times New Roman"/>
                <w:sz w:val="18"/>
                <w:szCs w:val="18"/>
              </w:rPr>
              <w:lastRenderedPageBreak/>
              <w:t>Informacje posiadane przez Biuro LGR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-wnioskodawca jest członkiem Stowarzyszenia</w:t>
            </w:r>
            <w:r w:rsidRPr="00363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1AD">
              <w:rPr>
                <w:rFonts w:ascii="Times New Roman" w:hAnsi="Times New Roman"/>
                <w:sz w:val="20"/>
                <w:szCs w:val="20"/>
              </w:rPr>
              <w:t>15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404D" w:rsidRPr="001E0455" w:rsidRDefault="00E2404D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</w:t>
            </w:r>
            <w:r w:rsidRPr="00363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złożony przez pozostałych wnioskodawców- </w:t>
            </w:r>
            <w:r w:rsidRPr="003631AD">
              <w:rPr>
                <w:rFonts w:ascii="Times New Roman" w:hAnsi="Times New Roman"/>
                <w:sz w:val="20"/>
                <w:szCs w:val="20"/>
              </w:rPr>
              <w:lastRenderedPageBreak/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E240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Niskie kwalifikacje ludności i poziom wykształcenia.</w:t>
            </w:r>
          </w:p>
          <w:p w:rsidR="00E2404D" w:rsidRPr="001E0455" w:rsidRDefault="00E2404D" w:rsidP="00E2404D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1E0455">
              <w:rPr>
                <w:color w:val="auto"/>
                <w:sz w:val="18"/>
                <w:szCs w:val="18"/>
                <w:lang w:eastAsia="en-US"/>
              </w:rPr>
              <w:t>Duża grupa mieszkańców wykluczonych społecznie oraz wynikająca z tego bieda i apatia, marazm, zniechęcenie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JAKOŚCIOWE</w:t>
            </w:r>
          </w:p>
          <w:p w:rsidR="00E2404D" w:rsidRPr="001E0455" w:rsidRDefault="00E2404D" w:rsidP="00E2404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E2404D" w:rsidRPr="002E7CA0" w:rsidTr="00F24E19">
        <w:trPr>
          <w:trHeight w:val="1540"/>
        </w:trPr>
        <w:tc>
          <w:tcPr>
            <w:tcW w:w="9640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F79646"/>
          </w:tcPr>
          <w:p w:rsidR="00E2404D" w:rsidRPr="002E7CA0" w:rsidRDefault="00E2404D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E2404D" w:rsidRPr="006F0BFE" w:rsidRDefault="00E2404D" w:rsidP="00F24E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455">
              <w:rPr>
                <w:rFonts w:ascii="Times New Roman" w:hAnsi="Times New Roman"/>
                <w:b/>
                <w:sz w:val="28"/>
                <w:szCs w:val="28"/>
              </w:rPr>
              <w:t>MAX: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E0455">
              <w:rPr>
                <w:rFonts w:ascii="Times New Roman" w:hAnsi="Times New Roman"/>
                <w:b/>
                <w:sz w:val="28"/>
                <w:szCs w:val="28"/>
              </w:rPr>
              <w:t xml:space="preserve"> pkt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E2404D" w:rsidRPr="002E7CA0" w:rsidRDefault="00E2404D" w:rsidP="00E2404D">
      <w:pPr>
        <w:rPr>
          <w:rFonts w:ascii="Times New Roman" w:hAnsi="Times New Roman"/>
          <w:b/>
          <w:color w:val="76923C"/>
          <w:sz w:val="24"/>
          <w:szCs w:val="24"/>
        </w:rPr>
      </w:pPr>
    </w:p>
    <w:p w:rsidR="00E2404D" w:rsidRPr="002E7CA0" w:rsidRDefault="00E2404D" w:rsidP="00E2404D">
      <w:pPr>
        <w:rPr>
          <w:rFonts w:ascii="Times New Roman" w:hAnsi="Times New Roman"/>
          <w:b/>
          <w:color w:val="76923C"/>
          <w:sz w:val="24"/>
          <w:szCs w:val="24"/>
        </w:rPr>
      </w:pPr>
    </w:p>
    <w:p w:rsidR="00E2404D" w:rsidRPr="002E7CA0" w:rsidRDefault="00E2404D" w:rsidP="00E2404D">
      <w:pPr>
        <w:rPr>
          <w:rFonts w:ascii="Times New Roman" w:hAnsi="Times New Roman"/>
          <w:b/>
          <w:color w:val="76923C"/>
          <w:sz w:val="24"/>
          <w:szCs w:val="24"/>
        </w:rPr>
      </w:pPr>
    </w:p>
    <w:p w:rsidR="00CF47BF" w:rsidRDefault="00CF47BF"/>
    <w:sectPr w:rsidR="00CF47BF" w:rsidSect="00E24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C96F18t00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1037D47"/>
    <w:multiLevelType w:val="hybridMultilevel"/>
    <w:tmpl w:val="B08462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4FDE"/>
    <w:multiLevelType w:val="hybridMultilevel"/>
    <w:tmpl w:val="E332B0D4"/>
    <w:lvl w:ilvl="0" w:tplc="F586B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07B45"/>
    <w:multiLevelType w:val="hybridMultilevel"/>
    <w:tmpl w:val="A64E80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B526C"/>
    <w:multiLevelType w:val="hybridMultilevel"/>
    <w:tmpl w:val="4308F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CB54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BD63E9"/>
    <w:multiLevelType w:val="hybridMultilevel"/>
    <w:tmpl w:val="810C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D052E"/>
    <w:multiLevelType w:val="hybridMultilevel"/>
    <w:tmpl w:val="20D62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5ECB6A">
      <w:start w:val="4"/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3F"/>
    <w:rsid w:val="00CF47BF"/>
    <w:rsid w:val="00D94E3F"/>
    <w:rsid w:val="00E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tawa"/>
    <w:basedOn w:val="Normalny"/>
    <w:uiPriority w:val="34"/>
    <w:qFormat/>
    <w:rsid w:val="00E2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tawa"/>
    <w:basedOn w:val="Normalny"/>
    <w:uiPriority w:val="34"/>
    <w:qFormat/>
    <w:rsid w:val="00E2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2226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2</cp:revision>
  <dcterms:created xsi:type="dcterms:W3CDTF">2012-06-04T12:59:00Z</dcterms:created>
  <dcterms:modified xsi:type="dcterms:W3CDTF">2012-06-04T13:00:00Z</dcterms:modified>
</cp:coreProperties>
</file>